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02472C" w14:textId="77777777" w:rsidR="009957CF" w:rsidRPr="00297C95" w:rsidRDefault="009957CF" w:rsidP="009957CF">
      <w:pPr>
        <w:pStyle w:val="NormalWeb"/>
        <w:spacing w:before="0" w:beforeAutospacing="0" w:after="0" w:afterAutospacing="0" w:line="276" w:lineRule="auto"/>
        <w:ind w:firstLine="706"/>
        <w:jc w:val="right"/>
        <w:rPr>
          <w:rFonts w:ascii="Sylfaen" w:hAnsi="Sylfaen" w:cs="Arial Unicode"/>
          <w:b/>
          <w:bCs/>
          <w:shd w:val="clear" w:color="auto" w:fill="FFFFFF"/>
          <w:lang w:val="hy-AM"/>
        </w:rPr>
      </w:pPr>
      <w:r w:rsidRPr="00297C95">
        <w:rPr>
          <w:rFonts w:ascii="Sylfaen" w:hAnsi="Sylfaen" w:cs="Arial Unicode"/>
          <w:b/>
          <w:bCs/>
          <w:shd w:val="clear" w:color="auto" w:fill="FFFFFF"/>
          <w:lang w:val="hy-AM"/>
        </w:rPr>
        <w:t>ՆԱԽԱԳԻԾ</w:t>
      </w:r>
    </w:p>
    <w:p w14:paraId="5E7148BD"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ՀԱՅԱՍՏԱՆԻ ՀԱՆՐԱՊԵՏՈՒԹՅԱՆ</w:t>
      </w:r>
    </w:p>
    <w:p w14:paraId="3B00533A"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ՕՐԵՆՔԸ</w:t>
      </w:r>
    </w:p>
    <w:p w14:paraId="1685A660"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«ՏԵՂԱԿԱՆ ՏՈՒՐՔԵՐԻ ԵՎ ՎՃԱՐՆԵՐԻ ՄԱՍԻՆ» ՕՐԵՆՔՈՒՄ ԼՐԱՑՈՒՄՆԵՐ ԵՎ ՓՈՓՈԽՈՒԹՅՈՒՆՆԵՐ ԿԱՏԱՐԵԼՈՒ ՄԱՍԻՆ</w:t>
      </w:r>
    </w:p>
    <w:p w14:paraId="204C5D3C"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p>
    <w:p w14:paraId="2CA18EA8"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Հոդված 1.</w:t>
      </w:r>
      <w:r w:rsidRPr="00297C95">
        <w:rPr>
          <w:rFonts w:ascii="Sylfaen" w:hAnsi="Sylfaen" w:cs="Arial Unicode"/>
          <w:bCs/>
          <w:shd w:val="clear" w:color="auto" w:fill="FFFFFF"/>
          <w:lang w:val="hy-AM"/>
        </w:rPr>
        <w:t xml:space="preserve"> «Տեղական տուրքերի և վճարների մասին» 1997 թվականի դեկտեմբերի 26-ի ՀՕ-185 օրենքի (այսուհետ՝ Օրենք) 1-ին հոդվածից հանել «կամ փոխհատուցման վճարները» բառերը, իսկ «ավել վճարված գումարների վերադարձման կարգն ու պայմանները» բառերը փոխարինել «վճարված գումարների վերադարձման կարգն ու պայմանները» բառերով.</w:t>
      </w:r>
    </w:p>
    <w:p w14:paraId="4CEA7DED"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Հոդված 2.</w:t>
      </w:r>
      <w:r w:rsidRPr="00297C95">
        <w:rPr>
          <w:rFonts w:ascii="Sylfaen" w:hAnsi="Sylfaen" w:cs="Arial Unicode"/>
          <w:bCs/>
          <w:shd w:val="clear" w:color="auto" w:fill="FFFFFF"/>
          <w:lang w:val="hy-AM"/>
        </w:rPr>
        <w:t xml:space="preserve"> Օրենքի 9-րդ հոդվածի 1-ին մասում՝</w:t>
      </w:r>
    </w:p>
    <w:p w14:paraId="5AEDBE18"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1) 15-րդ կետը շարադրել նոր խմբագրությամբ.</w:t>
      </w:r>
    </w:p>
    <w:p w14:paraId="6DA2861E"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«15) Հայաստանի Հանրապետության համայնքների կամ համայնքների կազմում ընդգրկված բնակավայրերի կամ Երևան համայնքի վարչական շրջանների անվանումները կամ խորհրդանիշները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նաև ֆիրմային անվանումներում օգտագործելու թույլտվություն տրամադրելու համար.».</w:t>
      </w:r>
    </w:p>
    <w:p w14:paraId="0F002037"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2) 24-րդ կետում «:» կետադրական նշանը փոխարինել «.» կետադրական նշանով.</w:t>
      </w:r>
    </w:p>
    <w:p w14:paraId="12E0A670"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3) լրացնել նոր 25-րդ կետ՝ հետևյալ բովանդակությամբ.</w:t>
      </w:r>
    </w:p>
    <w:p w14:paraId="4F5DE2F7"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ab/>
        <w:t>«25) համայնքի վարչական տարածքում շենքերից, շինություններից դուրս ավտոմատ ինքնասպասարկող սարքերի  միջոցով առևտուր իրականացնելու կամ ծառայություններ մատուցելու թույլտվության համար:».</w:t>
      </w:r>
    </w:p>
    <w:p w14:paraId="5FD8F41F"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ab/>
      </w:r>
      <w:r w:rsidRPr="00297C95">
        <w:rPr>
          <w:rFonts w:ascii="Sylfaen" w:hAnsi="Sylfaen" w:cs="Arial Unicode"/>
          <w:b/>
          <w:bCs/>
          <w:shd w:val="clear" w:color="auto" w:fill="FFFFFF"/>
          <w:lang w:val="hy-AM"/>
        </w:rPr>
        <w:t>Հոդված 3.</w:t>
      </w:r>
      <w:r w:rsidRPr="00297C95">
        <w:rPr>
          <w:rFonts w:ascii="Sylfaen" w:hAnsi="Sylfaen" w:cs="Arial Unicode"/>
          <w:bCs/>
          <w:shd w:val="clear" w:color="auto" w:fill="FFFFFF"/>
          <w:lang w:val="hy-AM"/>
        </w:rPr>
        <w:t xml:space="preserve"> Օրենքի 11-րդ հոդվածի՝</w:t>
      </w:r>
    </w:p>
    <w:p w14:paraId="211A33A9"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1) 1-ին մասից հանել «, համայնքի տարեկան բյուջեն հաստատելուց առաջ» բառերը և կետադրական նշանը.</w:t>
      </w:r>
    </w:p>
    <w:p w14:paraId="053CB18A"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2) 5-րդ մասը ուժը կորցրած ճանաչել.</w:t>
      </w:r>
    </w:p>
    <w:p w14:paraId="0473B821"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 xml:space="preserve">Հոդված 4. </w:t>
      </w:r>
      <w:r w:rsidRPr="00297C95">
        <w:rPr>
          <w:rFonts w:ascii="Sylfaen" w:hAnsi="Sylfaen" w:cs="Arial Unicode"/>
          <w:bCs/>
          <w:shd w:val="clear" w:color="auto" w:fill="FFFFFF"/>
          <w:lang w:val="hy-AM"/>
        </w:rPr>
        <w:t>Օրենքի 12-րդ հոդվածի՝</w:t>
      </w:r>
    </w:p>
    <w:p w14:paraId="666B77EB"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1) 1-ին մասում`</w:t>
      </w:r>
    </w:p>
    <w:p w14:paraId="43E45979"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 xml:space="preserve"> ա. 15-րդ կետը շարադրել նոր խմբագրությամբ՝ հետևյալ բովանդակությամբ.</w:t>
      </w:r>
    </w:p>
    <w:p w14:paraId="2A494E66"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«15) Հայաստանի Հանրապետության համայնքների կամ համայնքների կազմում ընդգրկված բնակավայրերի կամ Երևան համայնքի վարչական շրջանների անվանումները կամ խորհրդանիշները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նաև ֆիրմային անվանումներում օգտագործելու թույլտվություն տրամադրելու համար՝ օրացուցային տարվա համար՝ հարյուր հազարից մինչև երեք հարյուր հազար ՀՀ դրամ.».</w:t>
      </w:r>
    </w:p>
    <w:p w14:paraId="595177EB"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բ. 23-րդ կետում «:» կետադրական նշանը փոխարինել «.» կետադրական նշանով.</w:t>
      </w:r>
    </w:p>
    <w:p w14:paraId="25725C8C"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գ. լրացնել նոր 24-րդ կետ՝ հետևյալ բովանդակությամբ.</w:t>
      </w:r>
    </w:p>
    <w:p w14:paraId="2F552919"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 xml:space="preserve">«24) համայնքի վարչական տարածքում շենքերից, շինություններից դուրս ավտոմատ ինքնասպասարկող սարքերի  միջոցով առևտուր իրականացնելու կամ </w:t>
      </w:r>
      <w:r w:rsidRPr="00297C95">
        <w:rPr>
          <w:rFonts w:ascii="Sylfaen" w:hAnsi="Sylfaen" w:cs="Arial Unicode"/>
          <w:bCs/>
          <w:shd w:val="clear" w:color="auto" w:fill="FFFFFF"/>
          <w:lang w:val="hy-AM"/>
        </w:rPr>
        <w:lastRenderedPageBreak/>
        <w:t>ծառայություններ մատուցելու թույլտվության համար՝ յուրաքանչյուր օրվա համար` հինգ հարյուր դրամից մինչև հազար մեկ դրամ՝ մեկ քառակուսի մետրի համար:».</w:t>
      </w:r>
    </w:p>
    <w:p w14:paraId="71166D6F"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2) 3-րդ մասը շարադրել նոր խմբագրությամբ.</w:t>
      </w:r>
    </w:p>
    <w:p w14:paraId="047134DD"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«3. Սույն հոդվածով սահմանված դրույքաչափերը քաղաքային բնակավայրերում համայնքի ավագանու որոշմամբ կարող են սահմանվել մինչև 3.0 անգամ, իսկ Երևան քաղաքում` մինչև 7.0 անգամ ավելի, բացառությամբ 1-ին մասի 1-ին, 1.1-ին, 2-րդ և 3-րդ կետերի:».</w:t>
      </w:r>
    </w:p>
    <w:p w14:paraId="0605A761"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3) 5-րդ մասը ուժը կորցրած ճանաչել.</w:t>
      </w:r>
    </w:p>
    <w:p w14:paraId="21F2E458"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Հոդված 5.</w:t>
      </w:r>
      <w:r w:rsidRPr="00297C95">
        <w:rPr>
          <w:rFonts w:ascii="Sylfaen" w:hAnsi="Sylfaen" w:cs="Arial Unicode"/>
          <w:bCs/>
          <w:shd w:val="clear" w:color="auto" w:fill="FFFFFF"/>
          <w:lang w:val="hy-AM"/>
        </w:rPr>
        <w:t xml:space="preserve"> Օրենքի 13-րդ հոդվածի՝</w:t>
      </w:r>
    </w:p>
    <w:p w14:paraId="7E2ECEF8"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1) 1-ին մասից հանել «, համայնքի տարեկան բյուջեն հաստատելուց առաջ» բառերը և կետադրական նշանը.</w:t>
      </w:r>
    </w:p>
    <w:p w14:paraId="64C6F97A"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 xml:space="preserve"> 2) 2-րդ և 3-րդ մասերն ուժը կորցրած ճանաչել.</w:t>
      </w:r>
    </w:p>
    <w:p w14:paraId="405DA10D"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 xml:space="preserve">Հոդված 6. </w:t>
      </w:r>
      <w:r w:rsidRPr="00297C95">
        <w:rPr>
          <w:rFonts w:ascii="Sylfaen" w:hAnsi="Sylfaen" w:cs="Arial Unicode"/>
          <w:bCs/>
          <w:shd w:val="clear" w:color="auto" w:fill="FFFFFF"/>
          <w:lang w:val="hy-AM"/>
        </w:rPr>
        <w:t>Օրենքի 14-րդ հոդվածից հանել «փոխհատուցման վճար» և «փոխհատուցման վճարի չափով» բառերը՝ համապատասխան հոլովաձևերով.</w:t>
      </w:r>
    </w:p>
    <w:p w14:paraId="62F8407E"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Հոդված 7.</w:t>
      </w:r>
      <w:r w:rsidRPr="00297C95">
        <w:rPr>
          <w:rFonts w:ascii="Sylfaen" w:hAnsi="Sylfaen" w:cs="Arial Unicode"/>
          <w:bCs/>
          <w:shd w:val="clear" w:color="auto" w:fill="FFFFFF"/>
          <w:lang w:val="hy-AM"/>
        </w:rPr>
        <w:t xml:space="preserve"> Օրենքի 17-րդ հոդվածում՝</w:t>
      </w:r>
    </w:p>
    <w:p w14:paraId="68CF1AA1"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1) վերնագրում և 1-ին մասում «Տեղական տուրքի և (կամ) տեղական վճարի և (կամ) ավել վճարված գումարները» բառերը փոխարինել «Տեղական տուրքի և (կամ) տեղական վճարի վճարված գումարները» բառերով.</w:t>
      </w:r>
    </w:p>
    <w:p w14:paraId="6C3D922A"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 xml:space="preserve">2) լրացնել նոր 2.1-ին մաս. </w:t>
      </w:r>
    </w:p>
    <w:p w14:paraId="111D42E2"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«2.1. Տեղական տուրքերի և վճարների հետ կապված հարաբերությունները կարգավորող առանձին օրենքներով կարող են սահմանվել նաև տեղական տուրքի և (կամ) տեղական վճարի վճարված գումարները վերադարձնելու այլ հիմքեր.».</w:t>
      </w:r>
    </w:p>
    <w:p w14:paraId="2A9B81B0"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3) 3-րդ մասում լրացնել նոր նախադասություն. «Տեղական տուրքերի և վճարների հետ կապված հարաբերությունները կարգավորող առանձին օրենքներով տեղական տուրքերի և վճարների վճարված գումարի վերադարձման այլ հիմքեր նախատեսված լինելու դեպքում գումարի վերադարձի վերաբերյալ դիմումը կարող է մերժվել նաև տվյալ օրենքներով նախատեսված դեպքերում:».</w:t>
      </w:r>
    </w:p>
    <w:p w14:paraId="2ACB0F83" w14:textId="51A5017F"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 xml:space="preserve">Հոդված 8 . </w:t>
      </w:r>
      <w:r w:rsidRPr="00297C95">
        <w:rPr>
          <w:rFonts w:ascii="Sylfaen" w:hAnsi="Sylfaen" w:cs="Arial Unicode"/>
          <w:bCs/>
          <w:shd w:val="clear" w:color="auto" w:fill="FFFFFF"/>
          <w:lang w:val="hy-AM"/>
        </w:rPr>
        <w:t>Սույն օրենքն ուժի մեջ է մտնում պաշտոնական հրապարակման օրվան հաջորդող օրը: Սույն օրենքն ուժի մեջ մտնելուց հետո համայնքի ավագանու կողմից տվյալ տարվա համար արդեն իսկ ընդունված տեղական տուրքերի և վճարների դրույքաչափերը սահմանող իրավական ակտեր</w:t>
      </w:r>
      <w:r w:rsidR="00787F59">
        <w:rPr>
          <w:rFonts w:ascii="Sylfaen" w:hAnsi="Sylfaen" w:cs="Arial Unicode"/>
          <w:bCs/>
          <w:shd w:val="clear" w:color="auto" w:fill="FFFFFF"/>
          <w:lang w:val="hy-AM"/>
        </w:rPr>
        <w:t>ում</w:t>
      </w:r>
      <w:r w:rsidR="005D31D0">
        <w:rPr>
          <w:rFonts w:ascii="Sylfaen" w:hAnsi="Sylfaen" w:cs="Arial Unicode"/>
          <w:bCs/>
          <w:shd w:val="clear" w:color="auto" w:fill="FFFFFF"/>
          <w:lang w:val="hy-AM"/>
        </w:rPr>
        <w:t xml:space="preserve"> համապատասխան </w:t>
      </w:r>
      <w:r w:rsidRPr="00297C95">
        <w:rPr>
          <w:rFonts w:ascii="Sylfaen" w:hAnsi="Sylfaen" w:cs="Arial Unicode"/>
          <w:bCs/>
          <w:shd w:val="clear" w:color="auto" w:fill="FFFFFF"/>
          <w:lang w:val="hy-AM"/>
        </w:rPr>
        <w:t xml:space="preserve">փոփոխություններ կատարելու դեպքում </w:t>
      </w:r>
      <w:r w:rsidR="00787F59">
        <w:rPr>
          <w:rFonts w:ascii="Sylfaen" w:hAnsi="Sylfaen" w:cs="Arial Unicode"/>
          <w:bCs/>
          <w:shd w:val="clear" w:color="auto" w:fill="FFFFFF"/>
          <w:lang w:val="hy-AM"/>
        </w:rPr>
        <w:t xml:space="preserve">դրանք </w:t>
      </w:r>
      <w:r w:rsidRPr="00297C95">
        <w:rPr>
          <w:rFonts w:ascii="Sylfaen" w:hAnsi="Sylfaen" w:cs="Arial Unicode"/>
          <w:bCs/>
          <w:shd w:val="clear" w:color="auto" w:fill="FFFFFF"/>
          <w:lang w:val="hy-AM"/>
        </w:rPr>
        <w:t>շարունակում են գործել որպես ընթացիկ</w:t>
      </w:r>
      <w:r w:rsidR="00787F59">
        <w:rPr>
          <w:rFonts w:ascii="Sylfaen" w:hAnsi="Sylfaen" w:cs="Arial Unicode"/>
          <w:bCs/>
          <w:shd w:val="clear" w:color="auto" w:fill="FFFFFF"/>
          <w:lang w:val="hy-AM"/>
        </w:rPr>
        <w:t>՝</w:t>
      </w:r>
      <w:r w:rsidRPr="00297C95">
        <w:rPr>
          <w:rFonts w:ascii="Sylfaen" w:hAnsi="Sylfaen" w:cs="Arial Unicode"/>
          <w:bCs/>
          <w:shd w:val="clear" w:color="auto" w:fill="FFFFFF"/>
          <w:lang w:val="hy-AM"/>
        </w:rPr>
        <w:t>հաջորդ տարիների համար տվյալ համայնքում սահմանված տեղական տուրքերի և վճարների դրույքաչափեր</w:t>
      </w:r>
      <w:r w:rsidR="00787F59">
        <w:rPr>
          <w:rFonts w:ascii="Sylfaen" w:hAnsi="Sylfaen" w:cs="Arial Unicode"/>
          <w:bCs/>
          <w:shd w:val="clear" w:color="auto" w:fill="FFFFFF"/>
          <w:lang w:val="hy-AM"/>
        </w:rPr>
        <w:t>ը սահմանող իրավական ակտեր</w:t>
      </w:r>
      <w:r w:rsidRPr="00297C95">
        <w:rPr>
          <w:rFonts w:ascii="Sylfaen" w:hAnsi="Sylfaen" w:cs="Arial Unicode"/>
          <w:bCs/>
          <w:shd w:val="clear" w:color="auto" w:fill="FFFFFF"/>
          <w:lang w:val="hy-AM"/>
        </w:rPr>
        <w:t>:</w:t>
      </w:r>
    </w:p>
    <w:p w14:paraId="4B1ECE82"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77E53AB9"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300AC1D2"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10F68C97" w14:textId="2A8F0E93" w:rsidR="009957CF"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4D2EE4E2"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5D7C3F64"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0298C48F" w14:textId="77777777" w:rsidR="009957CF"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379FA9D2" w14:textId="77777777" w:rsidR="00D263C4" w:rsidRPr="00297C95" w:rsidRDefault="00D263C4"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bookmarkStart w:id="0" w:name="_GoBack"/>
      <w:bookmarkEnd w:id="0"/>
    </w:p>
    <w:sectPr w:rsidR="00D263C4"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098503" w14:textId="77777777" w:rsidR="00F031A0" w:rsidRDefault="00F031A0" w:rsidP="001109EC">
      <w:pPr>
        <w:spacing w:after="0" w:line="240" w:lineRule="auto"/>
      </w:pPr>
      <w:r>
        <w:separator/>
      </w:r>
    </w:p>
  </w:endnote>
  <w:endnote w:type="continuationSeparator" w:id="0">
    <w:p w14:paraId="16AC717A" w14:textId="77777777" w:rsidR="00F031A0" w:rsidRDefault="00F031A0"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4F4B94" w14:textId="77777777" w:rsidR="00F031A0" w:rsidRDefault="00F031A0" w:rsidP="001109EC">
      <w:pPr>
        <w:spacing w:after="0" w:line="240" w:lineRule="auto"/>
      </w:pPr>
      <w:r>
        <w:separator/>
      </w:r>
    </w:p>
  </w:footnote>
  <w:footnote w:type="continuationSeparator" w:id="0">
    <w:p w14:paraId="62BA3155" w14:textId="77777777" w:rsidR="00F031A0" w:rsidRDefault="00F031A0"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63C4"/>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31A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5E66D-7B9E-4DB2-9BC2-187EC8C16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2025-02-27T12:01:00Z</dcterms:created>
  <dcterms:modified xsi:type="dcterms:W3CDTF">2025-02-27T12:01:00Z</dcterms:modified>
</cp:coreProperties>
</file>